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used to calculate Call-Off Charges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t>
      </w:r>
    </w:p>
    <w:p w:rsidR="00000000" w:rsidDel="00000000" w:rsidP="00000000" w:rsidRDefault="00000000" w:rsidRPr="00000000" w14:paraId="000000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44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will be used as the basis for the charges (and are maximums that the Supplier may charge for a Standard Service Requirement) under each Call Off Contract including;</w:t>
      </w:r>
    </w:p>
    <w:p w:rsidR="00000000" w:rsidDel="00000000" w:rsidP="00000000" w:rsidRDefault="00000000" w:rsidRPr="00000000" w14:paraId="00000005">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Standard Service rate per Unit of Measure</w:t>
      </w:r>
    </w:p>
    <w:p w:rsidR="00000000" w:rsidDel="00000000" w:rsidP="00000000" w:rsidRDefault="00000000" w:rsidRPr="00000000" w14:paraId="00000006">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Overhead;</w:t>
      </w:r>
    </w:p>
    <w:p w:rsidR="00000000" w:rsidDel="00000000" w:rsidP="00000000" w:rsidRDefault="00000000" w:rsidRPr="00000000" w14:paraId="00000007">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Overhead;</w:t>
      </w:r>
    </w:p>
    <w:p w:rsidR="00000000" w:rsidDel="00000000" w:rsidP="00000000" w:rsidRDefault="00000000" w:rsidRPr="00000000" w14:paraId="00000008">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Profit;</w:t>
      </w:r>
    </w:p>
    <w:p w:rsidR="00000000" w:rsidDel="00000000" w:rsidP="00000000" w:rsidRDefault="00000000" w:rsidRPr="00000000" w14:paraId="00000009">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London location percentage variance; </w:t>
      </w:r>
    </w:p>
    <w:p w:rsidR="00000000" w:rsidDel="00000000" w:rsidP="00000000" w:rsidRDefault="00000000" w:rsidRPr="00000000" w14:paraId="0000000A">
      <w:pPr>
        <w:numPr>
          <w:ilvl w:val="4"/>
          <w:numId w:val="1"/>
        </w:numPr>
        <w:tabs>
          <w:tab w:val="left" w:pos="1985"/>
          <w:tab w:val="left" w:pos="2127"/>
        </w:tabs>
        <w:spacing w:after="120" w:before="120" w:line="240" w:lineRule="auto"/>
        <w:ind w:left="3349"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Billable works management uplifts; and </w:t>
      </w:r>
    </w:p>
    <w:p w:rsidR="00000000" w:rsidDel="00000000" w:rsidP="00000000" w:rsidRDefault="00000000" w:rsidRPr="00000000" w14:paraId="0000000B">
      <w:pPr>
        <w:tabs>
          <w:tab w:val="left" w:pos="1985"/>
          <w:tab w:val="left" w:pos="2127"/>
          <w:tab w:val="left" w:pos="1440"/>
        </w:tabs>
        <w:spacing w:after="120" w:before="120" w:line="240" w:lineRule="auto"/>
        <w:ind w:left="19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0C">
      <w:pPr>
        <w:numPr>
          <w:ilvl w:val="3"/>
          <w:numId w:val="1"/>
        </w:numPr>
        <w:tabs>
          <w:tab w:val="left" w:pos="1985"/>
          <w:tab w:val="left" w:pos="2127"/>
        </w:tabs>
        <w:spacing w:after="120" w:before="120" w:line="240" w:lineRule="auto"/>
        <w:ind w:left="327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cannot be increased except as in accordance with this Schedule.</w:t>
      </w:r>
    </w:p>
    <w:p w:rsidR="00000000" w:rsidDel="00000000" w:rsidP="00000000" w:rsidRDefault="00000000" w:rsidRPr="00000000" w14:paraId="0000000D">
      <w:pPr>
        <w:numPr>
          <w:ilvl w:val="3"/>
          <w:numId w:val="1"/>
        </w:numPr>
        <w:tabs>
          <w:tab w:val="left" w:pos="1985"/>
          <w:tab w:val="left" w:pos="2127"/>
        </w:tabs>
        <w:spacing w:after="120" w:before="120" w:line="240" w:lineRule="auto"/>
        <w:ind w:left="327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Framework Prices are permitted to exceed Standard Service pricing for non-standard requirements and/or at the discretion of the Buyer, however the pricing variables detailed in 1.1.1 (i) to (vi) will remain as maximum percentages</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impacted by any change to the Framework Prices.</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Framework Prices are calculated</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pricing mechanisms and prices set out in Annex 1 shall be available for use in calculation of Framework Prices in Call Off Contracts.</w:t>
      </w:r>
    </w:p>
    <w:bookmarkStart w:colFirst="0" w:colLast="0" w:name="bookmark=id.3znysh7" w:id="2"/>
    <w:bookmarkEnd w:id="2"/>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Are costs and expenses are included in the Framework Prices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 w:val="left" w:pos="1980"/>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prior to the commencement of any Call Off Contract.</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Supplier can ask to change the Framework Prices</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will be fixed for the first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following the Framework Contract Commencement Date (the date of expiry of such period is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requesting an increase shall include: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the Framework Prices to be reviewed;</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Framework Price under review, written evidence of the justification for the requested increase including:</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breakdown of the profit and cost components that comprise the relevant Framework Price;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movement in the different identified cost components of the relevant Framework Price;</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reasons for the movement in the different identified cost components of the relevant Framework Price;</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 has attempted to mitigate against the increase in the relevant cost components; and</w:t>
      </w:r>
    </w:p>
    <w:p w:rsidR="00000000" w:rsidDel="00000000" w:rsidP="00000000" w:rsidRDefault="00000000" w:rsidRPr="00000000" w14:paraId="000000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 w:val="left" w:pos="1985"/>
          <w:tab w:val="left" w:pos="2552"/>
        </w:tabs>
        <w:spacing w:after="120" w:before="120" w:line="240" w:lineRule="auto"/>
        <w:ind w:left="1985" w:right="0" w:hanging="81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consider each request for a price increase.  CCS may grant Approval to an increase at its sole discretion.</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events that allow the Supplier to change the Framework Prices</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Prices can also be varied (and Annex 1 will be updated accordingly) due to:</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Specific Change in Law in accordance with Clause 24;</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in accordance with insurance requirements in Clause 13;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benchmarking review in accordance with Call Off Schedule 16 (Benchmarking)</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from the Supplier, which it can make at any time, to decrease the Framework Prices; </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 where Annex 1 states that a particular Framework Price or any component is “subject to Indexation” in which event Paragraph 6 below shall apply.</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90" w:right="0" w:hanging="72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the Mandatory Wage in which event paragraph 7 shall apply.</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the Framework Prices are linked to inflation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Framework Charges (excluding Corporate Overhead, Profit and Billable Works and Projects percentages)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Prices shall not be indexed during the first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years following the Framework Contract Commencement Date.  </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Annex 1 states a Framework Price is subject to Indexation then it will be indexed on the date which is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indexation request shall be determined by applying the following formula: </w:t>
      </w:r>
    </w:p>
    <w:p w:rsidR="00000000" w:rsidDel="00000000" w:rsidP="00000000" w:rsidRDefault="00000000" w:rsidRPr="00000000" w14:paraId="00000034">
      <w:pP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NC = EC * Z where: </w:t>
      </w:r>
    </w:p>
    <w:p w:rsidR="00000000" w:rsidDel="00000000" w:rsidP="00000000" w:rsidRDefault="00000000" w:rsidRPr="00000000" w14:paraId="00000035">
      <w:pP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NC</w:t>
        <w:tab/>
        <w:t xml:space="preserve"> is the New Charge; </w:t>
      </w:r>
    </w:p>
    <w:p w:rsidR="00000000" w:rsidDel="00000000" w:rsidP="00000000" w:rsidRDefault="00000000" w:rsidRPr="00000000" w14:paraId="00000036">
      <w:pP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EC</w:t>
        <w:tab/>
        <w:t xml:space="preserve"> is the Existing Charge; and </w:t>
      </w:r>
    </w:p>
    <w:p w:rsidR="00000000" w:rsidDel="00000000" w:rsidP="00000000" w:rsidRDefault="00000000" w:rsidRPr="00000000" w14:paraId="00000037">
      <w:pPr>
        <w:tabs>
          <w:tab w:val="left" w:pos="709"/>
        </w:tabs>
        <w:spacing w:after="120" w:before="120" w:line="240" w:lineRule="auto"/>
        <w:ind w:left="644" w:firstLine="0"/>
        <w:rPr>
          <w:rFonts w:ascii="Arial" w:cs="Arial" w:eastAsia="Arial" w:hAnsi="Arial"/>
          <w:sz w:val="24"/>
          <w:szCs w:val="24"/>
        </w:rPr>
      </w:pPr>
      <w:r w:rsidDel="00000000" w:rsidR="00000000" w:rsidRPr="00000000">
        <w:rPr>
          <w:rFonts w:ascii="Arial" w:cs="Arial" w:eastAsia="Arial" w:hAnsi="Arial"/>
          <w:sz w:val="24"/>
          <w:szCs w:val="24"/>
          <w:rtl w:val="0"/>
        </w:rPr>
        <w:tab/>
        <w:tab/>
        <w:tab/>
        <w:t xml:space="preserve">Z</w:t>
        <w:tab/>
        <w:t xml:space="preserve"> is 1 + (“</w:t>
      </w:r>
      <w:r w:rsidDel="00000000" w:rsidR="00000000" w:rsidRPr="00000000">
        <w:rPr>
          <w:rFonts w:ascii="Arial" w:cs="Arial" w:eastAsia="Arial" w:hAnsi="Arial"/>
          <w:b w:val="1"/>
          <w:sz w:val="24"/>
          <w:szCs w:val="24"/>
          <w:rtl w:val="0"/>
        </w:rPr>
        <w:t xml:space="preserve">Average Annual % Change in CPI”</w:t>
      </w:r>
      <w:r w:rsidDel="00000000" w:rsidR="00000000" w:rsidRPr="00000000">
        <w:rPr>
          <w:rFonts w:ascii="Arial" w:cs="Arial" w:eastAsia="Arial" w:hAnsi="Arial"/>
          <w:sz w:val="24"/>
          <w:szCs w:val="24"/>
          <w:rtl w:val="0"/>
        </w:rPr>
        <w:t xml:space="preserve">) / 100</w:t>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CPI Index:</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used to carry out an indexation calculation is updated (for example due to it being provisional) then the indexation calculation shall also be updated unless CCS and the Supplier agree otherwise; </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98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 longer published, CCS and the Supplier shall agree a fair and reasonable replacement that will have substantially the same effect.</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both"/>
        <w:rPr>
          <w:rFonts w:ascii="Arial Bold" w:cs="Arial Bold" w:eastAsia="Arial Bold" w:hAnsi="Arial Bold"/>
          <w:b w:val="1"/>
          <w:i w:val="0"/>
          <w:smallCaps w:val="1"/>
          <w:strike w:val="0"/>
          <w:color w:val="000000"/>
          <w:sz w:val="22"/>
          <w:szCs w:val="22"/>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2"/>
          <w:szCs w:val="22"/>
          <w:u w:val="none"/>
          <w:shd w:fill="auto" w:val="clear"/>
          <w:vertAlign w:val="baseline"/>
          <w:rtl w:val="0"/>
        </w:rPr>
        <w:t xml:space="preserve">Changes to Mandatory Wage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Core Terms Clause 24.5 (Changing the Contract), where the Supplier can provide evidence that a percentage increase to the Mandatory Wage in a given period has exceeded any percentage increase in CPI under Paragraph for the same period in, the Supplier may request an increase in the Framework Prices by using the process under Paragraph 4.</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CCS is not required to accept the request to adjust Framework Prices and must not accept any request that:</w:t>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difference between the CPI increase and the current Mandatory Wage rate increase for each member of the Supplier Personnel affected by the Mandatory Wage increase;</w:t>
      </w:r>
    </w:p>
    <w:p w:rsidR="00000000" w:rsidDel="00000000" w:rsidP="00000000" w:rsidRDefault="00000000" w:rsidRPr="00000000" w14:paraId="0000004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Services that are not affected by the Mandatory Wage increase; and </w:t>
      </w:r>
    </w:p>
    <w:p w:rsidR="00000000" w:rsidDel="00000000" w:rsidP="00000000" w:rsidRDefault="00000000" w:rsidRPr="00000000" w14:paraId="0000004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1134" w:right="0" w:hanging="5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relates to Supplier Personnel on an hourly rate already in excess of the Mandatory Wage (whether or not to maintain differentials between the affected Supplier Personnel and higher paid Supplier Personnel)</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37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both"/>
        <w:rPr>
          <w:rFonts w:ascii="Arial Bold" w:cs="Arial Bold" w:eastAsia="Arial Bold" w:hAnsi="Arial Bold"/>
          <w:b w:val="1"/>
          <w:i w:val="0"/>
          <w:smallCaps w:val="1"/>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45">
      <w:pPr>
        <w:spacing w:after="240" w:before="240" w:lineRule="auto"/>
        <w:rPr>
          <w:rFonts w:ascii="Arial" w:cs="Arial" w:eastAsia="Arial" w:hAnsi="Arial"/>
          <w:b w:val="1"/>
          <w:sz w:val="24"/>
          <w:szCs w:val="24"/>
        </w:rPr>
      </w:pPr>
      <w:bookmarkStart w:colFirst="0" w:colLast="0" w:name="_heading=h.1t3h5sf" w:id="7"/>
      <w:bookmarkEnd w:id="7"/>
      <w:r w:rsidDel="00000000" w:rsidR="00000000" w:rsidRPr="00000000">
        <w:rPr>
          <w:rFonts w:ascii="Arial" w:cs="Arial" w:eastAsia="Arial" w:hAnsi="Arial"/>
          <w:b w:val="1"/>
          <w:sz w:val="24"/>
          <w:szCs w:val="24"/>
          <w:rtl w:val="0"/>
        </w:rPr>
        <w:t xml:space="preserve">[Guidance Note: Place a copy of the Supplier’s response to relevant award</w:t>
      </w:r>
    </w:p>
    <w:p w:rsidR="00000000" w:rsidDel="00000000" w:rsidP="00000000" w:rsidRDefault="00000000" w:rsidRPr="00000000" w14:paraId="00000046">
      <w:pPr>
        <w:spacing w:after="240" w:before="240" w:lineRule="auto"/>
        <w:rPr>
          <w:rFonts w:ascii="Arial" w:cs="Arial" w:eastAsia="Arial" w:hAnsi="Arial"/>
          <w:b w:val="1"/>
          <w:sz w:val="24"/>
          <w:szCs w:val="24"/>
        </w:rPr>
      </w:pPr>
      <w:bookmarkStart w:colFirst="0" w:colLast="0" w:name="_heading=h.fc9aac53do7k" w:id="8"/>
      <w:bookmarkEnd w:id="8"/>
      <w:r w:rsidDel="00000000" w:rsidR="00000000" w:rsidRPr="00000000">
        <w:rPr>
          <w:rFonts w:ascii="Arial" w:cs="Arial" w:eastAsia="Arial" w:hAnsi="Arial"/>
          <w:b w:val="1"/>
          <w:sz w:val="24"/>
          <w:szCs w:val="24"/>
          <w:rtl w:val="0"/>
        </w:rPr>
        <w:t xml:space="preserve">questionnaire pricing here once awarded.]</w:t>
      </w:r>
    </w:p>
    <w:p w:rsidR="00000000" w:rsidDel="00000000" w:rsidP="00000000" w:rsidRDefault="00000000" w:rsidRPr="00000000" w14:paraId="00000047">
      <w:pPr>
        <w:keepNext w:val="1"/>
        <w:spacing w:after="240" w:before="240" w:line="240" w:lineRule="auto"/>
        <w:rPr>
          <w:rFonts w:ascii="Arial" w:cs="Arial" w:eastAsia="Arial" w:hAnsi="Arial"/>
          <w:b w:val="1"/>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3 (Framework Prices)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ascii="Calibri" w:cs="Times New Roman" w:eastAsia="STZhongsong" w:hAnsi="Calibri"/>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ascii="Calibri" w:cs="Arial" w:eastAsia="Times New Roman" w:hAnsi="Calibri"/>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Calibri" w:cs="Arial" w:eastAsia="Times New Roman" w:hAnsi="Calibri"/>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ascii="Calibri" w:cs="Arial" w:eastAsia="Times New Roman" w:hAnsi="Calibri"/>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VASxq3mp2w1TgWwPiKlrA8sakQ==">AMUW2mUoYk34XroENls3yQLNBYsDY5D6vMRqS061gwog3RU48sIbZlVosFDzTACUZ2GPnzWirSjGiw3AyRqUzkPbCQgq0Q1jZCNrzwLVCBcrM+nRj0qkPvYdCLNxPs86iURdz0xwczLirYGDm6p19+epNtAAt/jtyOC0bDsevlZdH+D+JX0TJZgBTU6k50KuZyyyTCieuYh+Akxc/ZEt1ekbPrzwy7TriA5vZqLgTOurlcU93j5hxW23AeoErRoa/vrNl2qEpEZI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2022-05-10T06:52:00Z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